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F15FE" w:rsidRDefault="00DF15FE" w:rsidP="00DF15FE">
      <w:pPr>
        <w:spacing w:after="0" w:line="240" w:lineRule="auto"/>
        <w:rPr>
          <w:b/>
          <w:bCs/>
          <w:u w:val="single"/>
        </w:rPr>
      </w:pPr>
    </w:p>
    <w:tbl>
      <w:tblPr>
        <w:tblStyle w:val="Grilledutableau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7"/>
        <w:gridCol w:w="7655"/>
      </w:tblGrid>
      <w:tr w:rsidR="00540AB5" w:rsidTr="00540AB5">
        <w:tc>
          <w:tcPr>
            <w:tcW w:w="4967" w:type="dxa"/>
          </w:tcPr>
          <w:p w:rsidR="00DF15FE" w:rsidRDefault="00DF15FE" w:rsidP="00DF15FE">
            <w:pPr>
              <w:rPr>
                <w:b/>
                <w:bCs/>
                <w:u w:val="single"/>
              </w:rPr>
            </w:pPr>
            <w:r w:rsidRPr="00DF15FE">
              <w:rPr>
                <w:b/>
                <w:bCs/>
                <w:u w:val="single"/>
              </w:rPr>
              <w:drawing>
                <wp:inline distT="0" distB="0" distL="0" distR="0" wp14:anchorId="41BCD7B3" wp14:editId="04ABB5E3">
                  <wp:extent cx="2905760" cy="1475715"/>
                  <wp:effectExtent l="0" t="0" r="2540" b="0"/>
                  <wp:docPr id="4303185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31854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992" cy="154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DF15FE" w:rsidRDefault="00DF15FE" w:rsidP="00DF15FE">
            <w:pPr>
              <w:rPr>
                <w:b/>
                <w:bCs/>
              </w:rPr>
            </w:pPr>
          </w:p>
          <w:p w:rsidR="00DF15FE" w:rsidRDefault="00DF15FE" w:rsidP="00DF15FE">
            <w:pPr>
              <w:rPr>
                <w:b/>
                <w:bCs/>
              </w:rPr>
            </w:pPr>
            <w:r>
              <w:rPr>
                <w:b/>
                <w:bCs/>
              </w:rPr>
              <w:t>Salariés des T.P.E. :</w:t>
            </w:r>
          </w:p>
          <w:p w:rsidR="00DF15FE" w:rsidRDefault="00DF15FE" w:rsidP="00DF15FE">
            <w:pPr>
              <w:rPr>
                <w:b/>
                <w:bCs/>
              </w:rPr>
            </w:pPr>
          </w:p>
          <w:p w:rsidR="00540AB5" w:rsidRDefault="00DF15FE" w:rsidP="00DF15FE">
            <w:pPr>
              <w:jc w:val="center"/>
              <w:rPr>
                <w:b/>
                <w:bCs/>
                <w:color w:val="00B0F0"/>
                <w:sz w:val="32"/>
                <w:szCs w:val="32"/>
              </w:rPr>
            </w:pPr>
            <w:r w:rsidRPr="00540AB5">
              <w:rPr>
                <w:b/>
                <w:bCs/>
                <w:color w:val="00B0F0"/>
                <w:sz w:val="32"/>
                <w:szCs w:val="32"/>
              </w:rPr>
              <w:t xml:space="preserve">ARRÊTÉS D’EXTENSION </w:t>
            </w:r>
            <w:r w:rsidRPr="00540AB5">
              <w:rPr>
                <w:b/>
                <w:bCs/>
                <w:color w:val="00B0F0"/>
                <w:sz w:val="32"/>
                <w:szCs w:val="32"/>
              </w:rPr>
              <w:t xml:space="preserve">2024 </w:t>
            </w:r>
          </w:p>
          <w:p w:rsidR="00540AB5" w:rsidRDefault="00DF15FE" w:rsidP="00DF15FE">
            <w:pPr>
              <w:jc w:val="center"/>
              <w:rPr>
                <w:b/>
                <w:bCs/>
                <w:color w:val="00B0F0"/>
                <w:sz w:val="32"/>
                <w:szCs w:val="32"/>
              </w:rPr>
            </w:pPr>
            <w:r w:rsidRPr="00540AB5">
              <w:rPr>
                <w:b/>
                <w:bCs/>
                <w:color w:val="00B0F0"/>
                <w:sz w:val="32"/>
                <w:szCs w:val="32"/>
              </w:rPr>
              <w:t xml:space="preserve">DES ACCORDS </w:t>
            </w:r>
            <w:r w:rsidR="00540AB5" w:rsidRPr="00540AB5">
              <w:rPr>
                <w:b/>
                <w:bCs/>
                <w:color w:val="00B0F0"/>
                <w:sz w:val="32"/>
                <w:szCs w:val="32"/>
              </w:rPr>
              <w:t xml:space="preserve">COLLECTIFS </w:t>
            </w:r>
          </w:p>
          <w:p w:rsidR="00DF15FE" w:rsidRPr="00540AB5" w:rsidRDefault="00DF15FE" w:rsidP="00DF15FE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540AB5">
              <w:rPr>
                <w:b/>
                <w:bCs/>
                <w:color w:val="00B0F0"/>
                <w:sz w:val="32"/>
                <w:szCs w:val="32"/>
              </w:rPr>
              <w:t>DE VOTRE BRANCHE PROFESSIONNELLE</w:t>
            </w:r>
          </w:p>
        </w:tc>
      </w:tr>
    </w:tbl>
    <w:p w:rsidR="00DF15FE" w:rsidRDefault="00DF15FE" w:rsidP="00DF15FE">
      <w:pPr>
        <w:spacing w:after="0" w:line="240" w:lineRule="auto"/>
        <w:rPr>
          <w:b/>
          <w:bCs/>
          <w:u w:val="single"/>
        </w:rPr>
      </w:pPr>
    </w:p>
    <w:p w:rsidR="002A6F54" w:rsidRPr="00DF15FE" w:rsidRDefault="002A6F54" w:rsidP="00DF15FE">
      <w:pPr>
        <w:spacing w:after="0" w:line="240" w:lineRule="auto"/>
        <w:rPr>
          <w:b/>
          <w:bCs/>
        </w:rPr>
      </w:pPr>
    </w:p>
    <w:tbl>
      <w:tblPr>
        <w:tblStyle w:val="Grilledutableau"/>
        <w:tblpPr w:leftFromText="141" w:rightFromText="141" w:vertAnchor="text" w:horzAnchor="margin" w:tblpX="-431" w:tblpY="48"/>
        <w:tblW w:w="14454" w:type="dxa"/>
        <w:tblLook w:val="04A0" w:firstRow="1" w:lastRow="0" w:firstColumn="1" w:lastColumn="0" w:noHBand="0" w:noVBand="1"/>
      </w:tblPr>
      <w:tblGrid>
        <w:gridCol w:w="1271"/>
        <w:gridCol w:w="2410"/>
        <w:gridCol w:w="1701"/>
        <w:gridCol w:w="2835"/>
        <w:gridCol w:w="6237"/>
      </w:tblGrid>
      <w:tr w:rsidR="00540AB5" w:rsidTr="00540AB5">
        <w:tc>
          <w:tcPr>
            <w:tcW w:w="1271" w:type="dxa"/>
            <w:shd w:val="clear" w:color="auto" w:fill="D9E2F3" w:themeFill="accent1" w:themeFillTint="33"/>
          </w:tcPr>
          <w:p w:rsidR="00377636" w:rsidRPr="00540AB5" w:rsidRDefault="00377636" w:rsidP="00DF15FE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  <w:r w:rsidRPr="00540AB5">
              <w:rPr>
                <w:b/>
                <w:bCs/>
                <w:color w:val="00B0F0"/>
                <w:sz w:val="28"/>
                <w:szCs w:val="28"/>
              </w:rPr>
              <w:t>N° CCN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:rsidR="00377636" w:rsidRPr="00540AB5" w:rsidRDefault="00377636" w:rsidP="00540AB5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  <w:r w:rsidRPr="00540AB5">
              <w:rPr>
                <w:b/>
                <w:bCs/>
                <w:color w:val="00B0F0"/>
                <w:sz w:val="28"/>
                <w:szCs w:val="28"/>
              </w:rPr>
              <w:t>Branche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:rsidR="00377636" w:rsidRPr="00540AB5" w:rsidRDefault="00377636" w:rsidP="00DF15FE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  <w:r w:rsidRPr="00540AB5">
              <w:rPr>
                <w:b/>
                <w:bCs/>
                <w:color w:val="00B0F0"/>
                <w:sz w:val="28"/>
                <w:szCs w:val="28"/>
              </w:rPr>
              <w:t>Date</w:t>
            </w:r>
          </w:p>
        </w:tc>
        <w:tc>
          <w:tcPr>
            <w:tcW w:w="2835" w:type="dxa"/>
            <w:shd w:val="clear" w:color="auto" w:fill="D9E2F3" w:themeFill="accent1" w:themeFillTint="33"/>
          </w:tcPr>
          <w:p w:rsidR="00377636" w:rsidRPr="00540AB5" w:rsidRDefault="00540AB5" w:rsidP="00DF15FE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  <w:r>
              <w:rPr>
                <w:b/>
                <w:bCs/>
                <w:color w:val="00B0F0"/>
                <w:sz w:val="28"/>
                <w:szCs w:val="28"/>
              </w:rPr>
              <w:t>Droits</w:t>
            </w:r>
          </w:p>
        </w:tc>
        <w:tc>
          <w:tcPr>
            <w:tcW w:w="6237" w:type="dxa"/>
            <w:shd w:val="clear" w:color="auto" w:fill="D9E2F3" w:themeFill="accent1" w:themeFillTint="33"/>
          </w:tcPr>
          <w:p w:rsidR="00377636" w:rsidRPr="00540AB5" w:rsidRDefault="00540AB5" w:rsidP="00DF15FE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  <w:r>
              <w:rPr>
                <w:b/>
                <w:bCs/>
                <w:color w:val="00B0F0"/>
                <w:sz w:val="28"/>
                <w:szCs w:val="28"/>
              </w:rPr>
              <w:t>Arrêtés</w:t>
            </w:r>
          </w:p>
        </w:tc>
      </w:tr>
      <w:tr w:rsidR="00540AB5" w:rsidRPr="00540AB5" w:rsidTr="00540AB5">
        <w:tc>
          <w:tcPr>
            <w:tcW w:w="1271" w:type="dxa"/>
          </w:tcPr>
          <w:p w:rsidR="00540AB5" w:rsidRPr="00540AB5" w:rsidRDefault="00540AB5" w:rsidP="00DF15FE">
            <w:pPr>
              <w:rPr>
                <w:b/>
                <w:bCs/>
                <w:sz w:val="10"/>
                <w:szCs w:val="10"/>
              </w:rPr>
            </w:pPr>
          </w:p>
          <w:p w:rsidR="00377636" w:rsidRPr="00540AB5" w:rsidRDefault="008D1912" w:rsidP="00DF15FE">
            <w:pPr>
              <w:rPr>
                <w:b/>
                <w:bCs/>
                <w:sz w:val="21"/>
                <w:szCs w:val="21"/>
              </w:rPr>
            </w:pPr>
            <w:r w:rsidRPr="00540AB5">
              <w:rPr>
                <w:b/>
                <w:bCs/>
                <w:sz w:val="21"/>
                <w:szCs w:val="21"/>
              </w:rPr>
              <w:t xml:space="preserve">CCN </w:t>
            </w:r>
            <w:r w:rsidR="00377636" w:rsidRPr="00540AB5">
              <w:rPr>
                <w:b/>
                <w:bCs/>
                <w:sz w:val="21"/>
                <w:szCs w:val="21"/>
              </w:rPr>
              <w:t>6 avril 1956</w:t>
            </w:r>
          </w:p>
        </w:tc>
        <w:tc>
          <w:tcPr>
            <w:tcW w:w="2410" w:type="dxa"/>
          </w:tcPr>
          <w:p w:rsidR="00377636" w:rsidRPr="00540AB5" w:rsidRDefault="00377636" w:rsidP="00540AB5">
            <w:pPr>
              <w:jc w:val="center"/>
              <w:rPr>
                <w:b/>
                <w:bCs/>
                <w:color w:val="00B0F0"/>
                <w:sz w:val="21"/>
                <w:szCs w:val="21"/>
              </w:rPr>
            </w:pPr>
            <w:r w:rsidRPr="00540AB5">
              <w:rPr>
                <w:b/>
                <w:bCs/>
                <w:color w:val="00B0F0"/>
                <w:sz w:val="21"/>
                <w:szCs w:val="21"/>
              </w:rPr>
              <w:t>Pharmacie d’officine</w:t>
            </w:r>
          </w:p>
        </w:tc>
        <w:tc>
          <w:tcPr>
            <w:tcW w:w="1701" w:type="dxa"/>
          </w:tcPr>
          <w:p w:rsidR="00377636" w:rsidRPr="00540AB5" w:rsidRDefault="00377636" w:rsidP="00DF15FE">
            <w:pPr>
              <w:rPr>
                <w:sz w:val="21"/>
                <w:szCs w:val="21"/>
              </w:rPr>
            </w:pPr>
            <w:r w:rsidRPr="00540AB5">
              <w:rPr>
                <w:sz w:val="21"/>
                <w:szCs w:val="21"/>
              </w:rPr>
              <w:t>12 mars 2024</w:t>
            </w:r>
          </w:p>
        </w:tc>
        <w:tc>
          <w:tcPr>
            <w:tcW w:w="2835" w:type="dxa"/>
          </w:tcPr>
          <w:p w:rsidR="00377636" w:rsidRPr="00540AB5" w:rsidRDefault="00377636" w:rsidP="00DF15FE">
            <w:pPr>
              <w:rPr>
                <w:sz w:val="21"/>
                <w:szCs w:val="21"/>
              </w:rPr>
            </w:pPr>
            <w:r w:rsidRPr="00540AB5">
              <w:rPr>
                <w:sz w:val="21"/>
                <w:szCs w:val="21"/>
              </w:rPr>
              <w:t>Garanties collectives (prévoyance…)</w:t>
            </w:r>
          </w:p>
        </w:tc>
        <w:tc>
          <w:tcPr>
            <w:tcW w:w="6237" w:type="dxa"/>
          </w:tcPr>
          <w:p w:rsidR="00377636" w:rsidRPr="00540AB5" w:rsidRDefault="00000000" w:rsidP="00DF15FE">
            <w:pPr>
              <w:rPr>
                <w:sz w:val="20"/>
                <w:szCs w:val="20"/>
              </w:rPr>
            </w:pPr>
            <w:hyperlink r:id="rId6" w:history="1">
              <w:r w:rsidR="00377636" w:rsidRPr="00540AB5">
                <w:rPr>
                  <w:rStyle w:val="Lienhypertexte"/>
                  <w:sz w:val="20"/>
                  <w:szCs w:val="20"/>
                </w:rPr>
                <w:t>Arrêté du 12 mars 2024 portant extension d'avenants à des accords conclus dans le cadre de la convention collective nationale de l'industrie pharmaceutique (n° 176) - Légifrance (legifrance.gouv.fr)</w:t>
              </w:r>
            </w:hyperlink>
          </w:p>
        </w:tc>
      </w:tr>
      <w:tr w:rsidR="00540AB5" w:rsidRPr="00540AB5" w:rsidTr="00540AB5">
        <w:tc>
          <w:tcPr>
            <w:tcW w:w="1271" w:type="dxa"/>
          </w:tcPr>
          <w:p w:rsidR="00540AB5" w:rsidRPr="00540AB5" w:rsidRDefault="00540AB5" w:rsidP="00DF15FE">
            <w:pPr>
              <w:rPr>
                <w:b/>
                <w:bCs/>
                <w:sz w:val="21"/>
                <w:szCs w:val="21"/>
              </w:rPr>
            </w:pPr>
          </w:p>
          <w:p w:rsidR="00377636" w:rsidRPr="00540AB5" w:rsidRDefault="00377636" w:rsidP="00DF15FE">
            <w:pPr>
              <w:rPr>
                <w:b/>
                <w:bCs/>
                <w:sz w:val="21"/>
                <w:szCs w:val="21"/>
              </w:rPr>
            </w:pPr>
            <w:r w:rsidRPr="00540AB5">
              <w:rPr>
                <w:b/>
                <w:bCs/>
                <w:sz w:val="21"/>
                <w:szCs w:val="21"/>
              </w:rPr>
              <w:t>CCN 12 décembre 1978</w:t>
            </w:r>
          </w:p>
        </w:tc>
        <w:tc>
          <w:tcPr>
            <w:tcW w:w="2410" w:type="dxa"/>
          </w:tcPr>
          <w:p w:rsidR="00377636" w:rsidRPr="00540AB5" w:rsidRDefault="00377636" w:rsidP="00540AB5">
            <w:pPr>
              <w:jc w:val="center"/>
              <w:rPr>
                <w:b/>
                <w:bCs/>
                <w:color w:val="00B0F0"/>
                <w:sz w:val="21"/>
                <w:szCs w:val="21"/>
              </w:rPr>
            </w:pPr>
            <w:r w:rsidRPr="00540AB5">
              <w:rPr>
                <w:b/>
                <w:bCs/>
                <w:color w:val="00B0F0"/>
                <w:sz w:val="21"/>
                <w:szCs w:val="21"/>
              </w:rPr>
              <w:t>Boucherie-charcuterie, hippophagique, triperie, commerces de volailles et gibiers</w:t>
            </w:r>
          </w:p>
          <w:p w:rsidR="00502574" w:rsidRPr="00540AB5" w:rsidRDefault="00502574" w:rsidP="00540AB5">
            <w:pPr>
              <w:jc w:val="center"/>
              <w:rPr>
                <w:b/>
                <w:bCs/>
                <w:color w:val="00B0F0"/>
                <w:sz w:val="21"/>
                <w:szCs w:val="21"/>
              </w:rPr>
            </w:pPr>
          </w:p>
        </w:tc>
        <w:tc>
          <w:tcPr>
            <w:tcW w:w="1701" w:type="dxa"/>
          </w:tcPr>
          <w:p w:rsidR="00377636" w:rsidRPr="00540AB5" w:rsidRDefault="00377636" w:rsidP="00DF15FE">
            <w:pPr>
              <w:rPr>
                <w:sz w:val="21"/>
                <w:szCs w:val="21"/>
              </w:rPr>
            </w:pPr>
            <w:r w:rsidRPr="00540AB5">
              <w:rPr>
                <w:sz w:val="21"/>
                <w:szCs w:val="21"/>
              </w:rPr>
              <w:t>12 mars 2024</w:t>
            </w:r>
          </w:p>
        </w:tc>
        <w:tc>
          <w:tcPr>
            <w:tcW w:w="2835" w:type="dxa"/>
          </w:tcPr>
          <w:p w:rsidR="00377636" w:rsidRPr="00540AB5" w:rsidRDefault="00377636" w:rsidP="00DF15FE">
            <w:pPr>
              <w:rPr>
                <w:sz w:val="21"/>
                <w:szCs w:val="21"/>
              </w:rPr>
            </w:pPr>
            <w:r w:rsidRPr="00540AB5">
              <w:rPr>
                <w:sz w:val="21"/>
                <w:szCs w:val="21"/>
              </w:rPr>
              <w:t>Nouvelles grilles de salaires</w:t>
            </w:r>
          </w:p>
        </w:tc>
        <w:tc>
          <w:tcPr>
            <w:tcW w:w="6237" w:type="dxa"/>
          </w:tcPr>
          <w:p w:rsidR="00377636" w:rsidRPr="00540AB5" w:rsidRDefault="00000000" w:rsidP="00DF15FE">
            <w:pPr>
              <w:rPr>
                <w:sz w:val="20"/>
                <w:szCs w:val="20"/>
              </w:rPr>
            </w:pPr>
            <w:hyperlink r:id="rId7" w:history="1">
              <w:r w:rsidR="00377636" w:rsidRPr="00540AB5">
                <w:rPr>
                  <w:rStyle w:val="Lienhypertexte"/>
                  <w:sz w:val="20"/>
                  <w:szCs w:val="20"/>
                </w:rPr>
                <w:t>Arrêté du 12 mars 2024 portant extension d'un avenant à la convention collective nationale de la boucherie, de la boucherie-charcuterie, boucherie hippophagique, triperie, commerces de volailles et gibiers (n° 992</w:t>
              </w:r>
              <w:r w:rsidR="00377636" w:rsidRPr="00540AB5">
                <w:rPr>
                  <w:rStyle w:val="Lienhypertexte"/>
                  <w:sz w:val="20"/>
                  <w:szCs w:val="20"/>
                </w:rPr>
                <w:t>)</w:t>
              </w:r>
              <w:r w:rsidR="00377636" w:rsidRPr="00540AB5">
                <w:rPr>
                  <w:rStyle w:val="Lienhypertexte"/>
                  <w:sz w:val="20"/>
                  <w:szCs w:val="20"/>
                </w:rPr>
                <w:t xml:space="preserve"> - Légifr</w:t>
              </w:r>
              <w:r w:rsidR="00377636" w:rsidRPr="00540AB5">
                <w:rPr>
                  <w:rStyle w:val="Lienhypertexte"/>
                  <w:sz w:val="20"/>
                  <w:szCs w:val="20"/>
                </w:rPr>
                <w:t>a</w:t>
              </w:r>
              <w:r w:rsidR="00377636" w:rsidRPr="00540AB5">
                <w:rPr>
                  <w:rStyle w:val="Lienhypertexte"/>
                  <w:sz w:val="20"/>
                  <w:szCs w:val="20"/>
                </w:rPr>
                <w:t>nce (legifrance.gouv.fr)</w:t>
              </w:r>
            </w:hyperlink>
          </w:p>
        </w:tc>
      </w:tr>
      <w:tr w:rsidR="00540AB5" w:rsidRPr="00540AB5" w:rsidTr="00540AB5">
        <w:tc>
          <w:tcPr>
            <w:tcW w:w="1271" w:type="dxa"/>
          </w:tcPr>
          <w:p w:rsidR="00540AB5" w:rsidRPr="00540AB5" w:rsidRDefault="00540AB5" w:rsidP="00DF15FE">
            <w:pPr>
              <w:rPr>
                <w:b/>
                <w:bCs/>
                <w:sz w:val="10"/>
                <w:szCs w:val="10"/>
              </w:rPr>
            </w:pPr>
          </w:p>
          <w:p w:rsidR="00377636" w:rsidRPr="00540AB5" w:rsidRDefault="005B3432" w:rsidP="00DF15FE">
            <w:pPr>
              <w:rPr>
                <w:b/>
                <w:bCs/>
                <w:sz w:val="21"/>
                <w:szCs w:val="21"/>
              </w:rPr>
            </w:pPr>
            <w:r w:rsidRPr="00540AB5">
              <w:rPr>
                <w:b/>
                <w:bCs/>
                <w:sz w:val="21"/>
                <w:szCs w:val="21"/>
              </w:rPr>
              <w:t>CCN 15 mars 2021</w:t>
            </w:r>
          </w:p>
        </w:tc>
        <w:tc>
          <w:tcPr>
            <w:tcW w:w="2410" w:type="dxa"/>
          </w:tcPr>
          <w:p w:rsidR="00377636" w:rsidRPr="00540AB5" w:rsidRDefault="005B3432" w:rsidP="00540AB5">
            <w:pPr>
              <w:jc w:val="center"/>
              <w:rPr>
                <w:b/>
                <w:bCs/>
                <w:color w:val="00B0F0"/>
                <w:sz w:val="21"/>
                <w:szCs w:val="21"/>
              </w:rPr>
            </w:pPr>
            <w:r w:rsidRPr="00540AB5">
              <w:rPr>
                <w:b/>
                <w:bCs/>
                <w:color w:val="00B0F0"/>
                <w:sz w:val="21"/>
                <w:szCs w:val="21"/>
              </w:rPr>
              <w:t>Particuliers employeurs et de l'emploi à domicile</w:t>
            </w:r>
          </w:p>
        </w:tc>
        <w:tc>
          <w:tcPr>
            <w:tcW w:w="1701" w:type="dxa"/>
          </w:tcPr>
          <w:p w:rsidR="00377636" w:rsidRPr="00540AB5" w:rsidRDefault="005B3432" w:rsidP="00DF15FE">
            <w:pPr>
              <w:rPr>
                <w:sz w:val="21"/>
                <w:szCs w:val="21"/>
              </w:rPr>
            </w:pPr>
            <w:r w:rsidRPr="00540AB5">
              <w:rPr>
                <w:sz w:val="21"/>
                <w:szCs w:val="21"/>
              </w:rPr>
              <w:t>15 janvier 2024</w:t>
            </w:r>
          </w:p>
        </w:tc>
        <w:tc>
          <w:tcPr>
            <w:tcW w:w="2835" w:type="dxa"/>
          </w:tcPr>
          <w:p w:rsidR="00377636" w:rsidRPr="00540AB5" w:rsidRDefault="005B3432" w:rsidP="00DF15FE">
            <w:pPr>
              <w:rPr>
                <w:sz w:val="21"/>
                <w:szCs w:val="21"/>
              </w:rPr>
            </w:pPr>
            <w:r w:rsidRPr="00540AB5">
              <w:rPr>
                <w:sz w:val="21"/>
                <w:szCs w:val="21"/>
              </w:rPr>
              <w:t>Revalorisation des salaires</w:t>
            </w:r>
          </w:p>
        </w:tc>
        <w:tc>
          <w:tcPr>
            <w:tcW w:w="6237" w:type="dxa"/>
          </w:tcPr>
          <w:p w:rsidR="00377636" w:rsidRPr="00540AB5" w:rsidRDefault="00000000" w:rsidP="00DF15FE">
            <w:pPr>
              <w:rPr>
                <w:sz w:val="20"/>
                <w:szCs w:val="20"/>
              </w:rPr>
            </w:pPr>
            <w:hyperlink r:id="rId8" w:history="1">
              <w:r w:rsidR="005B3432" w:rsidRPr="00540AB5">
                <w:rPr>
                  <w:rStyle w:val="Lienhypertexte"/>
                  <w:sz w:val="20"/>
                  <w:szCs w:val="20"/>
                </w:rPr>
                <w:t>Arrêté du 15 janvier 2024 portant extension d'avenants à la convention collective de la branche du secteur des particuliers employeurs et de l'emploi à domicile (n° 3239) - Légifrance (legifrance.gouv.fr)</w:t>
              </w:r>
            </w:hyperlink>
          </w:p>
        </w:tc>
      </w:tr>
      <w:tr w:rsidR="00540AB5" w:rsidRPr="00540AB5" w:rsidTr="00540AB5">
        <w:tc>
          <w:tcPr>
            <w:tcW w:w="1271" w:type="dxa"/>
          </w:tcPr>
          <w:p w:rsidR="00540AB5" w:rsidRPr="00540AB5" w:rsidRDefault="00540AB5" w:rsidP="00DF15FE">
            <w:pPr>
              <w:rPr>
                <w:b/>
                <w:bCs/>
                <w:sz w:val="10"/>
                <w:szCs w:val="10"/>
              </w:rPr>
            </w:pPr>
          </w:p>
          <w:p w:rsidR="00377636" w:rsidRPr="00540AB5" w:rsidRDefault="005B3432" w:rsidP="00DF15FE">
            <w:pPr>
              <w:rPr>
                <w:b/>
                <w:bCs/>
                <w:sz w:val="21"/>
                <w:szCs w:val="21"/>
              </w:rPr>
            </w:pPr>
            <w:r w:rsidRPr="00540AB5">
              <w:rPr>
                <w:b/>
                <w:bCs/>
                <w:sz w:val="21"/>
                <w:szCs w:val="21"/>
              </w:rPr>
              <w:t>CCN 15 janvier 1981</w:t>
            </w:r>
          </w:p>
        </w:tc>
        <w:tc>
          <w:tcPr>
            <w:tcW w:w="2410" w:type="dxa"/>
          </w:tcPr>
          <w:p w:rsidR="00377636" w:rsidRPr="00540AB5" w:rsidRDefault="005B3432" w:rsidP="00540AB5">
            <w:pPr>
              <w:jc w:val="center"/>
              <w:rPr>
                <w:b/>
                <w:bCs/>
                <w:color w:val="00B0F0"/>
                <w:sz w:val="21"/>
                <w:szCs w:val="21"/>
              </w:rPr>
            </w:pPr>
            <w:r w:rsidRPr="00540AB5">
              <w:rPr>
                <w:b/>
                <w:bCs/>
                <w:color w:val="00B0F0"/>
                <w:sz w:val="21"/>
                <w:szCs w:val="21"/>
              </w:rPr>
              <w:t>Services de l'automobile</w:t>
            </w:r>
          </w:p>
        </w:tc>
        <w:tc>
          <w:tcPr>
            <w:tcW w:w="1701" w:type="dxa"/>
          </w:tcPr>
          <w:p w:rsidR="00377636" w:rsidRPr="00540AB5" w:rsidRDefault="005B3432" w:rsidP="00DF15FE">
            <w:pPr>
              <w:rPr>
                <w:sz w:val="21"/>
                <w:szCs w:val="21"/>
              </w:rPr>
            </w:pPr>
            <w:r w:rsidRPr="00540AB5">
              <w:rPr>
                <w:sz w:val="21"/>
                <w:szCs w:val="21"/>
              </w:rPr>
              <w:t>14 mars 2024</w:t>
            </w:r>
          </w:p>
        </w:tc>
        <w:tc>
          <w:tcPr>
            <w:tcW w:w="2835" w:type="dxa"/>
          </w:tcPr>
          <w:p w:rsidR="00377636" w:rsidRPr="00540AB5" w:rsidRDefault="005B3432" w:rsidP="00DF15FE">
            <w:pPr>
              <w:rPr>
                <w:sz w:val="21"/>
                <w:szCs w:val="21"/>
              </w:rPr>
            </w:pPr>
            <w:r w:rsidRPr="00540AB5">
              <w:rPr>
                <w:sz w:val="21"/>
                <w:szCs w:val="21"/>
              </w:rPr>
              <w:t>Revalorisation salaires</w:t>
            </w:r>
            <w:r w:rsidR="003B379D" w:rsidRPr="00540AB5">
              <w:rPr>
                <w:sz w:val="21"/>
                <w:szCs w:val="21"/>
              </w:rPr>
              <w:t xml:space="preserve"> / grilles de salaires</w:t>
            </w:r>
          </w:p>
        </w:tc>
        <w:tc>
          <w:tcPr>
            <w:tcW w:w="6237" w:type="dxa"/>
          </w:tcPr>
          <w:p w:rsidR="00377636" w:rsidRPr="00540AB5" w:rsidRDefault="00000000" w:rsidP="00DF15FE">
            <w:pPr>
              <w:rPr>
                <w:sz w:val="20"/>
                <w:szCs w:val="20"/>
              </w:rPr>
            </w:pPr>
            <w:hyperlink r:id="rId9" w:history="1">
              <w:r w:rsidR="005B3432" w:rsidRPr="00540AB5">
                <w:rPr>
                  <w:rStyle w:val="Lienhypertexte"/>
                  <w:sz w:val="20"/>
                  <w:szCs w:val="20"/>
                </w:rPr>
                <w:t>Arrêté du 14 mars 2024 portant extension d'un avenant à la convention collective nationale des services de l'automobile (n° 1090) - Légifrance (legifrance.gouv.fr)</w:t>
              </w:r>
            </w:hyperlink>
            <w:r w:rsidR="005B3432" w:rsidRPr="00540AB5">
              <w:rPr>
                <w:sz w:val="20"/>
                <w:szCs w:val="20"/>
              </w:rPr>
              <w:t xml:space="preserve"> </w:t>
            </w:r>
          </w:p>
        </w:tc>
      </w:tr>
      <w:tr w:rsidR="00540AB5" w:rsidRPr="00540AB5" w:rsidTr="00540AB5">
        <w:tc>
          <w:tcPr>
            <w:tcW w:w="1271" w:type="dxa"/>
          </w:tcPr>
          <w:p w:rsidR="00540AB5" w:rsidRPr="00540AB5" w:rsidRDefault="00540AB5" w:rsidP="00DF15FE">
            <w:pPr>
              <w:rPr>
                <w:b/>
                <w:bCs/>
                <w:sz w:val="10"/>
                <w:szCs w:val="10"/>
              </w:rPr>
            </w:pPr>
          </w:p>
          <w:p w:rsidR="00377636" w:rsidRPr="00540AB5" w:rsidRDefault="003B379D" w:rsidP="00DF15FE">
            <w:pPr>
              <w:rPr>
                <w:b/>
                <w:bCs/>
                <w:sz w:val="21"/>
                <w:szCs w:val="21"/>
              </w:rPr>
            </w:pPr>
            <w:r w:rsidRPr="00540AB5">
              <w:rPr>
                <w:b/>
                <w:bCs/>
                <w:sz w:val="21"/>
                <w:szCs w:val="21"/>
              </w:rPr>
              <w:t>CCN 15 décembre 1987</w:t>
            </w:r>
          </w:p>
        </w:tc>
        <w:tc>
          <w:tcPr>
            <w:tcW w:w="2410" w:type="dxa"/>
          </w:tcPr>
          <w:p w:rsidR="00377636" w:rsidRPr="00540AB5" w:rsidRDefault="003B379D" w:rsidP="00540AB5">
            <w:pPr>
              <w:jc w:val="center"/>
              <w:rPr>
                <w:b/>
                <w:bCs/>
                <w:color w:val="00B0F0"/>
                <w:sz w:val="21"/>
                <w:szCs w:val="21"/>
              </w:rPr>
            </w:pPr>
            <w:r w:rsidRPr="00540AB5">
              <w:rPr>
                <w:b/>
                <w:bCs/>
                <w:color w:val="00B0F0"/>
                <w:sz w:val="21"/>
                <w:szCs w:val="21"/>
              </w:rPr>
              <w:t>Bureaux d'études techniques, des cabinets d'ingénieurs-conseils et des sociétés de conseils</w:t>
            </w:r>
          </w:p>
        </w:tc>
        <w:tc>
          <w:tcPr>
            <w:tcW w:w="1701" w:type="dxa"/>
          </w:tcPr>
          <w:p w:rsidR="00377636" w:rsidRPr="00540AB5" w:rsidRDefault="003B379D" w:rsidP="00DF15FE">
            <w:pPr>
              <w:rPr>
                <w:sz w:val="21"/>
                <w:szCs w:val="21"/>
              </w:rPr>
            </w:pPr>
            <w:r w:rsidRPr="00540AB5">
              <w:rPr>
                <w:sz w:val="21"/>
                <w:szCs w:val="21"/>
              </w:rPr>
              <w:t>20 février 2024</w:t>
            </w:r>
          </w:p>
        </w:tc>
        <w:tc>
          <w:tcPr>
            <w:tcW w:w="2835" w:type="dxa"/>
          </w:tcPr>
          <w:p w:rsidR="00377636" w:rsidRPr="00540AB5" w:rsidRDefault="003B379D" w:rsidP="00DF15FE">
            <w:pPr>
              <w:rPr>
                <w:sz w:val="21"/>
                <w:szCs w:val="21"/>
              </w:rPr>
            </w:pPr>
            <w:r w:rsidRPr="00540AB5">
              <w:rPr>
                <w:sz w:val="21"/>
                <w:szCs w:val="21"/>
              </w:rPr>
              <w:t>Organisation du travail hydride de travail dans l’entreprise</w:t>
            </w:r>
          </w:p>
        </w:tc>
        <w:tc>
          <w:tcPr>
            <w:tcW w:w="6237" w:type="dxa"/>
          </w:tcPr>
          <w:p w:rsidR="00502574" w:rsidRPr="00540AB5" w:rsidRDefault="00000000" w:rsidP="00DF15FE">
            <w:pPr>
              <w:rPr>
                <w:sz w:val="20"/>
                <w:szCs w:val="20"/>
              </w:rPr>
            </w:pPr>
            <w:hyperlink r:id="rId10" w:history="1">
              <w:r w:rsidR="003B379D" w:rsidRPr="00540AB5">
                <w:rPr>
                  <w:rStyle w:val="Lienhypertexte"/>
                  <w:sz w:val="20"/>
                  <w:szCs w:val="20"/>
                </w:rPr>
                <w:t>Arrêté du 20 février 2024 portant extension d'un accord conclu dans le cadre de la convention collective nationale des bureaux d'études techniques, des cabinets d'ingénieurs-conseils et des sociétés de conseils (n° 1486) - Légifrance (legifrance.gouv.fr)</w:t>
              </w:r>
            </w:hyperlink>
          </w:p>
        </w:tc>
      </w:tr>
      <w:tr w:rsidR="00540AB5" w:rsidRPr="00540AB5" w:rsidTr="00540AB5">
        <w:tc>
          <w:tcPr>
            <w:tcW w:w="1271" w:type="dxa"/>
          </w:tcPr>
          <w:p w:rsidR="00540AB5" w:rsidRPr="00540AB5" w:rsidRDefault="00540AB5" w:rsidP="00DF15FE">
            <w:pPr>
              <w:rPr>
                <w:b/>
                <w:bCs/>
                <w:sz w:val="10"/>
                <w:szCs w:val="10"/>
              </w:rPr>
            </w:pPr>
          </w:p>
          <w:p w:rsidR="003B379D" w:rsidRPr="00540AB5" w:rsidRDefault="003B379D" w:rsidP="00DF15FE">
            <w:pPr>
              <w:rPr>
                <w:b/>
                <w:bCs/>
                <w:sz w:val="21"/>
                <w:szCs w:val="21"/>
              </w:rPr>
            </w:pPr>
            <w:r w:rsidRPr="00540AB5">
              <w:rPr>
                <w:b/>
                <w:bCs/>
                <w:sz w:val="21"/>
                <w:szCs w:val="21"/>
              </w:rPr>
              <w:t>CCN 20 février 1979</w:t>
            </w:r>
          </w:p>
        </w:tc>
        <w:tc>
          <w:tcPr>
            <w:tcW w:w="2410" w:type="dxa"/>
          </w:tcPr>
          <w:p w:rsidR="003B379D" w:rsidRPr="00540AB5" w:rsidRDefault="003B379D" w:rsidP="00540AB5">
            <w:pPr>
              <w:jc w:val="center"/>
              <w:rPr>
                <w:b/>
                <w:bCs/>
                <w:color w:val="00B0F0"/>
                <w:sz w:val="21"/>
                <w:szCs w:val="21"/>
              </w:rPr>
            </w:pPr>
            <w:r w:rsidRPr="00540AB5">
              <w:rPr>
                <w:b/>
                <w:bCs/>
                <w:color w:val="00B0F0"/>
                <w:sz w:val="21"/>
                <w:szCs w:val="21"/>
              </w:rPr>
              <w:t>Cabinets d’avocats</w:t>
            </w:r>
          </w:p>
        </w:tc>
        <w:tc>
          <w:tcPr>
            <w:tcW w:w="1701" w:type="dxa"/>
          </w:tcPr>
          <w:p w:rsidR="003B379D" w:rsidRPr="00540AB5" w:rsidRDefault="003B379D" w:rsidP="00DF15FE">
            <w:pPr>
              <w:rPr>
                <w:sz w:val="21"/>
                <w:szCs w:val="21"/>
              </w:rPr>
            </w:pPr>
            <w:r w:rsidRPr="00540AB5">
              <w:rPr>
                <w:sz w:val="21"/>
                <w:szCs w:val="21"/>
              </w:rPr>
              <w:t>19 février 2024</w:t>
            </w:r>
          </w:p>
        </w:tc>
        <w:tc>
          <w:tcPr>
            <w:tcW w:w="2835" w:type="dxa"/>
          </w:tcPr>
          <w:p w:rsidR="003B379D" w:rsidRPr="00540AB5" w:rsidRDefault="00502574" w:rsidP="00DF15FE">
            <w:pPr>
              <w:rPr>
                <w:sz w:val="21"/>
                <w:szCs w:val="21"/>
              </w:rPr>
            </w:pPr>
            <w:r w:rsidRPr="00540AB5">
              <w:rPr>
                <w:sz w:val="21"/>
                <w:szCs w:val="21"/>
              </w:rPr>
              <w:t>Salaires</w:t>
            </w:r>
            <w:r w:rsidR="003B379D" w:rsidRPr="00540AB5">
              <w:rPr>
                <w:sz w:val="21"/>
                <w:szCs w:val="21"/>
              </w:rPr>
              <w:t xml:space="preserve"> minima du personnel salarié non-avocats</w:t>
            </w:r>
          </w:p>
          <w:p w:rsidR="003B379D" w:rsidRPr="00540AB5" w:rsidRDefault="003B379D" w:rsidP="00DF15FE">
            <w:pPr>
              <w:rPr>
                <w:sz w:val="21"/>
                <w:szCs w:val="21"/>
              </w:rPr>
            </w:pPr>
          </w:p>
        </w:tc>
        <w:tc>
          <w:tcPr>
            <w:tcW w:w="6237" w:type="dxa"/>
          </w:tcPr>
          <w:p w:rsidR="00502574" w:rsidRPr="00540AB5" w:rsidRDefault="00000000" w:rsidP="00DF15FE">
            <w:pPr>
              <w:rPr>
                <w:sz w:val="20"/>
                <w:szCs w:val="20"/>
              </w:rPr>
            </w:pPr>
            <w:hyperlink r:id="rId11" w:history="1">
              <w:r w:rsidR="003B379D" w:rsidRPr="00540AB5">
                <w:rPr>
                  <w:rStyle w:val="Lienhypertexte"/>
                  <w:sz w:val="20"/>
                  <w:szCs w:val="20"/>
                </w:rPr>
                <w:t>Arrêté du 19 février 2024 portant extension d'un avenant à la convention collective nationale du personnel des cabinets d'avocats (n° 1000) - Légifrance (legifrance.gouv.fr)</w:t>
              </w:r>
            </w:hyperlink>
          </w:p>
        </w:tc>
      </w:tr>
    </w:tbl>
    <w:p w:rsidR="0089362B" w:rsidRPr="00540AB5" w:rsidRDefault="0089362B" w:rsidP="00DF15FE">
      <w:pPr>
        <w:spacing w:after="0" w:line="240" w:lineRule="auto"/>
        <w:rPr>
          <w:sz w:val="21"/>
          <w:szCs w:val="21"/>
        </w:rPr>
      </w:pPr>
    </w:p>
    <w:sectPr w:rsidR="0089362B" w:rsidRPr="00540AB5" w:rsidSect="00540AB5">
      <w:pgSz w:w="16838" w:h="11906" w:orient="landscape"/>
      <w:pgMar w:top="851" w:right="964" w:bottom="90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EE546B"/>
    <w:multiLevelType w:val="hybridMultilevel"/>
    <w:tmpl w:val="58A89A94"/>
    <w:lvl w:ilvl="0" w:tplc="2DA0D8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244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62B"/>
    <w:rsid w:val="00007F92"/>
    <w:rsid w:val="001623CB"/>
    <w:rsid w:val="002A6F54"/>
    <w:rsid w:val="002C5E3D"/>
    <w:rsid w:val="00377636"/>
    <w:rsid w:val="003B379D"/>
    <w:rsid w:val="00466CC9"/>
    <w:rsid w:val="004C555F"/>
    <w:rsid w:val="00502574"/>
    <w:rsid w:val="00540AB5"/>
    <w:rsid w:val="005B3432"/>
    <w:rsid w:val="0089362B"/>
    <w:rsid w:val="008B23CA"/>
    <w:rsid w:val="008D1912"/>
    <w:rsid w:val="009C2807"/>
    <w:rsid w:val="00D06175"/>
    <w:rsid w:val="00D50490"/>
    <w:rsid w:val="00DF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94D1A"/>
  <w15:chartTrackingRefBased/>
  <w15:docId w15:val="{153C4A20-B8B4-448F-BD25-6AD9367BC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9362B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D50490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8B2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5B34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gifrance.gouv.fr/jorf/id/JORFTEXT00004899923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egifrance.gouv.fr/jorf/id/JORFTEXT00004935847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egifrance.gouv.fr/jorf/id/JORFTEXT000049358450" TargetMode="External"/><Relationship Id="rId11" Type="http://schemas.openxmlformats.org/officeDocument/2006/relationships/hyperlink" Target="https://www.legifrance.gouv.fr/jorf/id/JORFTEXT000049285518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legifrance.gouv.fr/jorf/id/JORFTEXT00004928554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egifrance.gouv.fr/jorf/id/JORFTEXT000049328378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400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OURIEMMI Imane</dc:creator>
  <cp:keywords/>
  <dc:description/>
  <cp:lastModifiedBy>Microsoft Office User</cp:lastModifiedBy>
  <cp:revision>3</cp:revision>
  <dcterms:created xsi:type="dcterms:W3CDTF">2024-04-09T12:03:00Z</dcterms:created>
  <dcterms:modified xsi:type="dcterms:W3CDTF">2024-04-13T15:34:00Z</dcterms:modified>
</cp:coreProperties>
</file>